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74FD44D5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>
        <w:rPr>
          <w:rFonts w:ascii="Impact" w:eastAsia="Times" w:hAnsi="Times"/>
          <w:szCs w:val="20"/>
          <w:lang w:val="es-ES"/>
        </w:rPr>
        <w:t xml:space="preserve">Nota de prensa </w:t>
      </w:r>
      <w:r>
        <w:rPr>
          <w:rFonts w:ascii="Times" w:eastAsia="Times" w:hAnsi="Impact"/>
          <w:szCs w:val="20"/>
          <w:lang w:val="es-ES"/>
        </w:rPr>
        <w:t>–</w:t>
      </w:r>
      <w:r>
        <w:rPr>
          <w:rFonts w:ascii="Times" w:eastAsia="Times" w:hAnsi="Impact"/>
          <w:szCs w:val="20"/>
          <w:lang w:val="es-ES"/>
        </w:rPr>
        <w:t xml:space="preserve"> </w:t>
      </w:r>
      <w:r>
        <w:rPr>
          <w:rFonts w:ascii="Impact" w:eastAsia="Times" w:hAnsi="Impact"/>
          <w:szCs w:val="20"/>
          <w:lang w:val="es-ES"/>
        </w:rPr>
        <w:t>Difusión</w:t>
      </w:r>
      <w:r>
        <w:rPr>
          <w:rFonts w:ascii="Impact" w:eastAsia="Times" w:hAnsi="Times"/>
          <w:szCs w:val="20"/>
          <w:lang w:val="es-ES"/>
        </w:rPr>
        <w:t xml:space="preserve"> Inmediata </w:t>
      </w:r>
      <w:proofErr w:type="gramStart"/>
      <w:r>
        <w:rPr>
          <w:rFonts w:ascii="Impact" w:eastAsia="Times" w:hAnsi="Times"/>
          <w:szCs w:val="20"/>
          <w:lang w:val="es-ES"/>
        </w:rPr>
        <w:t>Diciem</w:t>
      </w:r>
      <w:r>
        <w:rPr>
          <w:rFonts w:ascii="Impact" w:eastAsia="Times" w:hAnsi="Times"/>
          <w:szCs w:val="20"/>
          <w:lang w:val="es-ES"/>
        </w:rPr>
        <w:t>bre</w:t>
      </w:r>
      <w:proofErr w:type="gram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11</w:t>
      </w:r>
      <w:r>
        <w:rPr>
          <w:rFonts w:ascii="Impact" w:eastAsia="Times" w:hAnsi="Times"/>
          <w:szCs w:val="20"/>
          <w:lang w:val="es-ES"/>
        </w:rPr>
        <w:t xml:space="preserve">, 2020  </w:t>
      </w:r>
    </w:p>
    <w:p w14:paraId="23E8458A" w14:textId="77777777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Contacto: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0BC1DA80" w14:textId="10C78E25" w:rsidR="0054209A" w:rsidRDefault="0054209A" w:rsidP="0054209A">
      <w:pPr>
        <w:rPr>
          <w:b/>
          <w:bCs/>
          <w:lang w:val="es-ES"/>
        </w:rPr>
      </w:pPr>
      <w:proofErr w:type="spellStart"/>
      <w:r>
        <w:rPr>
          <w:b/>
          <w:lang w:val="es-ES"/>
        </w:rPr>
        <w:t>QUĖ</w:t>
      </w:r>
      <w:proofErr w:type="spellEnd"/>
      <w:r>
        <w:rPr>
          <w:b/>
          <w:lang w:val="es-ES"/>
        </w:rPr>
        <w:t>:</w:t>
      </w:r>
      <w:r>
        <w:rPr>
          <w:lang w:val="es-ES"/>
        </w:rPr>
        <w:tab/>
      </w:r>
      <w:bookmarkStart w:id="0" w:name="_Hlk47087686"/>
      <w:r>
        <w:rPr>
          <w:lang w:val="es-ES"/>
        </w:rPr>
        <w:tab/>
      </w:r>
      <w:r>
        <w:rPr>
          <w:b/>
          <w:bCs/>
          <w:lang w:val="es-ES"/>
        </w:rPr>
        <w:t>“</w:t>
      </w:r>
      <w:r>
        <w:rPr>
          <w:b/>
          <w:bCs/>
          <w:lang w:val="es-ES"/>
        </w:rPr>
        <w:t xml:space="preserve">SEGUNDA </w:t>
      </w:r>
      <w:r>
        <w:rPr>
          <w:b/>
          <w:bCs/>
          <w:lang w:val="es-ES"/>
        </w:rPr>
        <w:t xml:space="preserve">SERIE de </w:t>
      </w:r>
      <w:bookmarkStart w:id="1" w:name="_Hlk47091233"/>
      <w:r>
        <w:rPr>
          <w:b/>
          <w:bCs/>
          <w:lang w:val="es-ES"/>
        </w:rPr>
        <w:t>TALLERES BILINGÜES para NIÑOS</w:t>
      </w:r>
      <w:bookmarkEnd w:id="1"/>
      <w:r>
        <w:rPr>
          <w:b/>
          <w:bCs/>
          <w:lang w:val="es-ES"/>
        </w:rPr>
        <w:t>”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77777777" w:rsidR="0054209A" w:rsidRDefault="0054209A" w:rsidP="0054209A">
      <w:pPr>
        <w:ind w:left="1440" w:hanging="1440"/>
        <w:rPr>
          <w:lang w:val="es-ES"/>
        </w:rPr>
      </w:pPr>
      <w:proofErr w:type="spellStart"/>
      <w:r>
        <w:rPr>
          <w:b/>
          <w:lang w:val="es-AR"/>
        </w:rPr>
        <w:t>D</w:t>
      </w:r>
      <w:bookmarkStart w:id="2" w:name="_Hlk47092328"/>
      <w:r>
        <w:rPr>
          <w:b/>
          <w:lang w:val="es-AR"/>
        </w:rPr>
        <w:t>Ő</w:t>
      </w:r>
      <w:bookmarkEnd w:id="2"/>
      <w:r>
        <w:rPr>
          <w:b/>
          <w:lang w:val="es-AR"/>
        </w:rPr>
        <w:t>NDE</w:t>
      </w:r>
      <w:proofErr w:type="spellEnd"/>
      <w:r>
        <w:rPr>
          <w:b/>
          <w:lang w:val="es-AR"/>
        </w:rPr>
        <w:t>:</w:t>
      </w:r>
      <w:r>
        <w:rPr>
          <w:lang w:val="es-AR"/>
        </w:rPr>
        <w:tab/>
      </w:r>
      <w:r>
        <w:rPr>
          <w:b/>
          <w:lang w:val="es-AR"/>
        </w:rPr>
        <w:t>ONLINE vía ZOOM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0E8F3608" w14:textId="5921D5DF" w:rsidR="0054209A" w:rsidRDefault="0054209A" w:rsidP="0054209A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  <w:t>sábados,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de </w:t>
      </w:r>
      <w:r>
        <w:rPr>
          <w:b/>
          <w:bCs/>
          <w:lang w:val="es-ES"/>
        </w:rPr>
        <w:t>enero 9 a Febrero 6</w:t>
      </w:r>
      <w:r>
        <w:rPr>
          <w:b/>
          <w:bCs/>
          <w:lang w:val="es-ES"/>
        </w:rPr>
        <w:t>, 202</w:t>
      </w:r>
      <w:r>
        <w:rPr>
          <w:b/>
          <w:bCs/>
          <w:lang w:val="es-ES"/>
        </w:rPr>
        <w:t xml:space="preserve">1 </w:t>
      </w:r>
      <w:r>
        <w:rPr>
          <w:b/>
          <w:bCs/>
          <w:lang w:val="es-ES"/>
        </w:rPr>
        <w:t xml:space="preserve">  </w:t>
      </w:r>
      <w:r>
        <w:rPr>
          <w:b/>
          <w:bCs/>
          <w:lang w:val="es-ES"/>
        </w:rPr>
        <w:tab/>
        <w:t xml:space="preserve"> </w:t>
      </w:r>
    </w:p>
    <w:p w14:paraId="27188210" w14:textId="77777777" w:rsidR="0054209A" w:rsidRDefault="0054209A" w:rsidP="0054209A">
      <w:pPr>
        <w:pStyle w:val="NoSpacing"/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14:paraId="72425948" w14:textId="77777777" w:rsidR="0054209A" w:rsidRDefault="0054209A" w:rsidP="0054209A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b/>
          <w:lang w:val="es-ES"/>
        </w:rPr>
        <w:tab/>
        <w:t>GRATIS para Niños residentes de DC</w:t>
      </w:r>
      <w:r>
        <w:rPr>
          <w:lang w:val="es-ES"/>
        </w:rPr>
        <w:tab/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77777777" w:rsidR="0054209A" w:rsidRDefault="0054209A" w:rsidP="0054209A">
      <w:pPr>
        <w:rPr>
          <w:lang w:val="es-AR"/>
        </w:rPr>
      </w:pPr>
      <w:proofErr w:type="spellStart"/>
      <w:r>
        <w:rPr>
          <w:b/>
          <w:lang w:val="es-US"/>
        </w:rPr>
        <w:t>INFORMACIŐN</w:t>
      </w:r>
      <w:proofErr w:type="spellEnd"/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77777777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r>
        <w:rPr>
          <w:b/>
          <w:lang w:val="es-AR"/>
        </w:rPr>
        <w:t xml:space="preserve">presenta </w:t>
      </w:r>
    </w:p>
    <w:p w14:paraId="7C7555C4" w14:textId="77777777" w:rsidR="0054209A" w:rsidRDefault="0054209A" w:rsidP="0054209A">
      <w:pP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SERIES de TALLERES VIRTUALES – BILINGÜES para NIÑOS</w:t>
      </w:r>
    </w:p>
    <w:p w14:paraId="3C683F82" w14:textId="77777777" w:rsidR="0054209A" w:rsidRPr="00692EB1" w:rsidRDefault="0054209A" w:rsidP="0054209A">
      <w:pPr>
        <w:jc w:val="center"/>
        <w:rPr>
          <w:b/>
          <w:sz w:val="20"/>
          <w:szCs w:val="20"/>
          <w:lang w:val="es-ES"/>
        </w:rPr>
      </w:pPr>
    </w:p>
    <w:p w14:paraId="283884EB" w14:textId="77777777" w:rsidR="0054209A" w:rsidRDefault="0054209A" w:rsidP="0054209A">
      <w:pPr>
        <w:ind w:firstLine="720"/>
        <w:jc w:val="both"/>
        <w:rPr>
          <w:bCs/>
          <w:lang w:val="es-ES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está ofreciendo </w:t>
      </w:r>
      <w:r>
        <w:rPr>
          <w:lang w:val="es-ES" w:eastAsia="ja-JP"/>
        </w:rPr>
        <w:t xml:space="preserve">la </w:t>
      </w:r>
      <w:r w:rsidRPr="0054209A">
        <w:rPr>
          <w:b/>
          <w:bCs/>
          <w:lang w:val="es-ES" w:eastAsia="ja-JP"/>
        </w:rPr>
        <w:t>SEGUNDA SERIE</w:t>
      </w:r>
      <w:r>
        <w:rPr>
          <w:lang w:val="es-ES" w:eastAsia="ja-JP"/>
        </w:rPr>
        <w:t xml:space="preserve"> de las programadas </w:t>
      </w:r>
      <w:r>
        <w:rPr>
          <w:b/>
          <w:bCs/>
          <w:lang w:val="es-ES" w:eastAsia="ja-JP"/>
        </w:rPr>
        <w:t>CINCO SERIES</w:t>
      </w:r>
      <w:r>
        <w:rPr>
          <w:b/>
          <w:bCs/>
          <w:lang w:val="es-ES"/>
        </w:rPr>
        <w:t xml:space="preserve"> de TALLERES BILINGÜES de Arte para NIÑOS</w:t>
      </w:r>
      <w:r>
        <w:rPr>
          <w:b/>
          <w:bCs/>
          <w:lang w:val="es-ES"/>
        </w:rPr>
        <w:t>.</w:t>
      </w:r>
      <w:r>
        <w:rPr>
          <w:bCs/>
          <w:lang w:val="es-ES"/>
        </w:rPr>
        <w:t xml:space="preserve">  Una variedad de disciplinas artísticas incluyendo teatro, poesía, música, técnica de clown y movimiento, se emplearán durante los talleres</w:t>
      </w:r>
      <w:r>
        <w:rPr>
          <w:lang w:val="es-ES"/>
        </w:rPr>
        <w:t xml:space="preserve"> online vía ZOOM y que serán conducidos por instructores profesionales bilingües del campo escénico. </w:t>
      </w:r>
    </w:p>
    <w:p w14:paraId="2589CFB7" w14:textId="77777777" w:rsidR="0054209A" w:rsidRDefault="0054209A" w:rsidP="0054209A">
      <w:pPr>
        <w:jc w:val="both"/>
        <w:rPr>
          <w:bCs/>
          <w:lang w:val="es-ES"/>
        </w:rPr>
      </w:pPr>
    </w:p>
    <w:p w14:paraId="32F26517" w14:textId="77777777" w:rsidR="0054209A" w:rsidRDefault="0054209A" w:rsidP="0054209A">
      <w:pPr>
        <w:ind w:left="720"/>
        <w:jc w:val="both"/>
        <w:rPr>
          <w:b/>
          <w:lang w:val="es-ES"/>
        </w:rPr>
      </w:pPr>
      <w:r>
        <w:rPr>
          <w:b/>
          <w:lang w:val="es-ES"/>
        </w:rPr>
        <w:t>EDADES Y HORARIOS:</w:t>
      </w:r>
    </w:p>
    <w:p w14:paraId="181CF362" w14:textId="77777777" w:rsidR="0054209A" w:rsidRDefault="0054209A" w:rsidP="0054209A">
      <w:pPr>
        <w:ind w:left="720"/>
        <w:jc w:val="both"/>
        <w:rPr>
          <w:b/>
          <w:lang w:val="es-ES"/>
        </w:rPr>
      </w:pPr>
      <w:r>
        <w:rPr>
          <w:bCs/>
          <w:lang w:val="es-ES"/>
        </w:rPr>
        <w:t xml:space="preserve">Para niños de </w:t>
      </w:r>
      <w:r>
        <w:rPr>
          <w:b/>
          <w:lang w:val="es-ES"/>
        </w:rPr>
        <w:t xml:space="preserve">6 </w:t>
      </w:r>
      <w:r>
        <w:rPr>
          <w:bCs/>
          <w:lang w:val="es-ES"/>
        </w:rPr>
        <w:t>a</w:t>
      </w:r>
      <w:r>
        <w:rPr>
          <w:b/>
          <w:lang w:val="es-ES"/>
        </w:rPr>
        <w:t xml:space="preserve"> 8</w:t>
      </w:r>
      <w:r>
        <w:rPr>
          <w:bCs/>
          <w:lang w:val="es-ES"/>
        </w:rPr>
        <w:t xml:space="preserve"> años:</w:t>
      </w:r>
      <w:r>
        <w:rPr>
          <w:b/>
          <w:lang w:val="es-ES"/>
        </w:rPr>
        <w:t xml:space="preserve">10am </w:t>
      </w:r>
      <w:r>
        <w:rPr>
          <w:bCs/>
          <w:lang w:val="es-ES"/>
        </w:rPr>
        <w:t xml:space="preserve">a </w:t>
      </w:r>
      <w:r>
        <w:rPr>
          <w:b/>
          <w:lang w:val="es-ES"/>
        </w:rPr>
        <w:t xml:space="preserve">10:50 am </w:t>
      </w:r>
      <w:r>
        <w:rPr>
          <w:bCs/>
          <w:lang w:val="es-ES"/>
        </w:rPr>
        <w:t>y</w:t>
      </w:r>
      <w:r>
        <w:rPr>
          <w:b/>
          <w:lang w:val="es-ES"/>
        </w:rPr>
        <w:t xml:space="preserve"> </w:t>
      </w:r>
      <w:r>
        <w:rPr>
          <w:bCs/>
          <w:lang w:val="es-ES"/>
        </w:rPr>
        <w:t xml:space="preserve">de </w:t>
      </w:r>
      <w:r>
        <w:rPr>
          <w:b/>
          <w:lang w:val="es-ES"/>
        </w:rPr>
        <w:t xml:space="preserve">9 </w:t>
      </w:r>
      <w:r>
        <w:rPr>
          <w:bCs/>
          <w:lang w:val="es-ES"/>
        </w:rPr>
        <w:t>a</w:t>
      </w:r>
      <w:r>
        <w:rPr>
          <w:b/>
          <w:lang w:val="es-ES"/>
        </w:rPr>
        <w:t xml:space="preserve"> 11 </w:t>
      </w:r>
      <w:r>
        <w:rPr>
          <w:bCs/>
          <w:lang w:val="es-ES"/>
        </w:rPr>
        <w:t xml:space="preserve">años: </w:t>
      </w:r>
      <w:r>
        <w:rPr>
          <w:b/>
          <w:lang w:val="es-ES"/>
        </w:rPr>
        <w:t>11:00am</w:t>
      </w:r>
      <w:r>
        <w:rPr>
          <w:bCs/>
          <w:lang w:val="es-ES"/>
        </w:rPr>
        <w:t xml:space="preserve"> a</w:t>
      </w:r>
      <w:r>
        <w:rPr>
          <w:b/>
          <w:lang w:val="es-ES"/>
        </w:rPr>
        <w:t xml:space="preserve"> 12 (mediodía) </w:t>
      </w:r>
    </w:p>
    <w:p w14:paraId="29B1A9C7" w14:textId="77777777" w:rsidR="0054209A" w:rsidRDefault="0054209A" w:rsidP="0054209A">
      <w:pPr>
        <w:ind w:left="720"/>
        <w:jc w:val="both"/>
        <w:rPr>
          <w:b/>
          <w:lang w:val="es-ES"/>
        </w:rPr>
      </w:pPr>
    </w:p>
    <w:p w14:paraId="1FCB1375" w14:textId="0F031A5C" w:rsidR="0054209A" w:rsidRPr="0054209A" w:rsidRDefault="0054209A" w:rsidP="0054209A">
      <w:pPr>
        <w:numPr>
          <w:ilvl w:val="0"/>
          <w:numId w:val="1"/>
        </w:numPr>
        <w:jc w:val="both"/>
        <w:rPr>
          <w:bCs/>
          <w:lang w:val="es-ES"/>
        </w:rPr>
      </w:pPr>
      <w:r w:rsidRPr="0054209A">
        <w:rPr>
          <w:bCs/>
          <w:lang w:val="es-ES"/>
        </w:rPr>
        <w:t>PRIMERA SERIE:  noviembre 7 a diciembre 12, 2020</w:t>
      </w:r>
      <w:r>
        <w:rPr>
          <w:bCs/>
          <w:lang w:val="es-ES"/>
        </w:rPr>
        <w:t xml:space="preserve"> (realizada)</w:t>
      </w:r>
    </w:p>
    <w:p w14:paraId="4CB63304" w14:textId="06F9662D" w:rsidR="0054209A" w:rsidRDefault="0054209A" w:rsidP="0054209A">
      <w:pPr>
        <w:numPr>
          <w:ilvl w:val="0"/>
          <w:numId w:val="1"/>
        </w:numPr>
        <w:jc w:val="both"/>
        <w:rPr>
          <w:b/>
          <w:lang w:val="es-ES"/>
        </w:rPr>
      </w:pPr>
      <w:r>
        <w:rPr>
          <w:b/>
          <w:lang w:val="es-ES"/>
        </w:rPr>
        <w:t xml:space="preserve">SEGUNDA SERIE:  </w:t>
      </w:r>
      <w:r>
        <w:rPr>
          <w:b/>
          <w:lang w:val="es-ES"/>
        </w:rPr>
        <w:t>ENERO 9 A FEBRERO 6, 2021</w:t>
      </w:r>
    </w:p>
    <w:p w14:paraId="04CFED2F" w14:textId="77777777" w:rsidR="0054209A" w:rsidRDefault="0054209A" w:rsidP="0054209A">
      <w:pPr>
        <w:numPr>
          <w:ilvl w:val="0"/>
          <w:numId w:val="1"/>
        </w:numPr>
        <w:jc w:val="both"/>
        <w:rPr>
          <w:b/>
          <w:lang w:val="es-ES"/>
        </w:rPr>
      </w:pPr>
      <w:r>
        <w:rPr>
          <w:b/>
          <w:lang w:val="es-ES"/>
        </w:rPr>
        <w:t>TERCERA SERIE:  febrero 20 a marzo 20, 2021</w:t>
      </w:r>
    </w:p>
    <w:p w14:paraId="37CAD78D" w14:textId="77777777" w:rsidR="0054209A" w:rsidRDefault="0054209A" w:rsidP="0054209A">
      <w:pPr>
        <w:numPr>
          <w:ilvl w:val="0"/>
          <w:numId w:val="1"/>
        </w:numPr>
        <w:jc w:val="both"/>
        <w:rPr>
          <w:b/>
          <w:lang w:val="es-ES"/>
        </w:rPr>
      </w:pPr>
      <w:r>
        <w:rPr>
          <w:b/>
          <w:lang w:val="es-ES"/>
        </w:rPr>
        <w:t>CUARTA SERIE:     abril 3 a mayo 1, 2021</w:t>
      </w:r>
    </w:p>
    <w:p w14:paraId="7BBC0DE4" w14:textId="77777777" w:rsidR="0054209A" w:rsidRDefault="0054209A" w:rsidP="0054209A">
      <w:pPr>
        <w:numPr>
          <w:ilvl w:val="0"/>
          <w:numId w:val="1"/>
        </w:numPr>
        <w:jc w:val="both"/>
        <w:rPr>
          <w:b/>
          <w:lang w:val="es-ES"/>
        </w:rPr>
      </w:pPr>
      <w:r>
        <w:rPr>
          <w:b/>
          <w:lang w:val="es-ES"/>
        </w:rPr>
        <w:t>QUINTA SERIE:      mayo 15 a junio 12, 2021</w:t>
      </w:r>
    </w:p>
    <w:p w14:paraId="3790584D" w14:textId="7CE82E8C" w:rsidR="0054209A" w:rsidRDefault="0054209A" w:rsidP="0054209A">
      <w:pPr>
        <w:ind w:firstLine="720"/>
        <w:jc w:val="both"/>
        <w:rPr>
          <w:lang w:val="es-ES"/>
        </w:rPr>
      </w:pPr>
      <w:r>
        <w:rPr>
          <w:lang w:val="es-ES"/>
        </w:rPr>
        <w:t>Est</w:t>
      </w:r>
      <w:r>
        <w:rPr>
          <w:lang w:val="es-ES"/>
        </w:rPr>
        <w:t>o</w:t>
      </w:r>
      <w:r>
        <w:rPr>
          <w:lang w:val="es-ES"/>
        </w:rPr>
        <w:t>s</w:t>
      </w:r>
      <w:r>
        <w:rPr>
          <w:lang w:val="es-ES"/>
        </w:rPr>
        <w:t xml:space="preserve"> ta</w:t>
      </w:r>
      <w:r>
        <w:rPr>
          <w:lang w:val="es-ES"/>
        </w:rPr>
        <w:t xml:space="preserve">lleres </w:t>
      </w:r>
      <w:r>
        <w:rPr>
          <w:lang w:val="es-ES"/>
        </w:rPr>
        <w:t>son parte de</w:t>
      </w:r>
      <w:r>
        <w:rPr>
          <w:lang w:val="es-ES"/>
        </w:rPr>
        <w:t xml:space="preserve"> nuestro Programa Experiencia Teatral y son ofrecidos sin costo alguno a niños residentes del Distrito de Columbia gracias al apoyo de EVENTS DC y DC </w:t>
      </w:r>
      <w:proofErr w:type="spellStart"/>
      <w:r>
        <w:rPr>
          <w:lang w:val="es-ES"/>
        </w:rPr>
        <w:t>Commission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Arts and </w:t>
      </w:r>
      <w:proofErr w:type="spellStart"/>
      <w:r>
        <w:rPr>
          <w:lang w:val="es-ES"/>
        </w:rPr>
        <w:t>Humanities</w:t>
      </w:r>
      <w:proofErr w:type="spellEnd"/>
      <w:r>
        <w:rPr>
          <w:lang w:val="es-ES"/>
        </w:rPr>
        <w:t>.</w:t>
      </w:r>
    </w:p>
    <w:p w14:paraId="6B85868B" w14:textId="77777777" w:rsidR="0054209A" w:rsidRDefault="0054209A" w:rsidP="0054209A">
      <w:pPr>
        <w:jc w:val="both"/>
        <w:rPr>
          <w:sz w:val="10"/>
          <w:szCs w:val="10"/>
          <w:lang w:val="es-ES" w:eastAsia="ja-JP"/>
        </w:rPr>
      </w:pPr>
    </w:p>
    <w:p w14:paraId="7C87665F" w14:textId="77777777" w:rsidR="0054209A" w:rsidRDefault="0054209A" w:rsidP="0054209A">
      <w:pPr>
        <w:jc w:val="center"/>
        <w:rPr>
          <w:b/>
          <w:sz w:val="28"/>
          <w:szCs w:val="28"/>
          <w:lang w:val="es-ES" w:eastAsia="ja-JP"/>
        </w:rPr>
      </w:pPr>
      <w:proofErr w:type="spellStart"/>
      <w:r>
        <w:rPr>
          <w:b/>
          <w:sz w:val="28"/>
          <w:szCs w:val="28"/>
          <w:lang w:val="es-ES" w:eastAsia="ja-JP"/>
        </w:rPr>
        <w:t>INFORMACIÒN</w:t>
      </w:r>
      <w:proofErr w:type="spellEnd"/>
      <w:r>
        <w:rPr>
          <w:b/>
          <w:sz w:val="28"/>
          <w:szCs w:val="28"/>
          <w:lang w:val="es-ES" w:eastAsia="ja-JP"/>
        </w:rPr>
        <w:t xml:space="preserve"> </w:t>
      </w:r>
      <w:r>
        <w:rPr>
          <w:bCs/>
          <w:sz w:val="28"/>
          <w:szCs w:val="28"/>
          <w:lang w:val="es-ES" w:eastAsia="ja-JP"/>
        </w:rPr>
        <w:t xml:space="preserve">e </w:t>
      </w:r>
      <w:proofErr w:type="spellStart"/>
      <w:r>
        <w:rPr>
          <w:b/>
          <w:sz w:val="28"/>
          <w:szCs w:val="28"/>
          <w:lang w:val="es-ES" w:eastAsia="ja-JP"/>
        </w:rPr>
        <w:t>INSCRIPCIÒN</w:t>
      </w:r>
      <w:proofErr w:type="spellEnd"/>
      <w:r>
        <w:rPr>
          <w:b/>
          <w:sz w:val="28"/>
          <w:szCs w:val="28"/>
          <w:lang w:val="es-ES" w:eastAsia="ja-JP"/>
        </w:rPr>
        <w:t>: 202-882-6227 / 202-733-0053</w:t>
      </w:r>
    </w:p>
    <w:p w14:paraId="716F4FA8" w14:textId="77777777" w:rsidR="0054209A" w:rsidRDefault="0054209A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Cs/>
          <w:sz w:val="28"/>
          <w:szCs w:val="28"/>
          <w:lang w:val="es-ES" w:eastAsia="ja-JP"/>
        </w:rPr>
        <w:t xml:space="preserve">o email </w:t>
      </w:r>
      <w:r>
        <w:rPr>
          <w:b/>
          <w:sz w:val="28"/>
          <w:szCs w:val="28"/>
          <w:lang w:val="es-ES" w:eastAsia="ja-JP"/>
        </w:rPr>
        <w:t>info@teatrodelaluna.org</w:t>
      </w:r>
    </w:p>
    <w:p w14:paraId="564FD7B1" w14:textId="77777777" w:rsidR="0054209A" w:rsidRDefault="0054209A" w:rsidP="0054209A">
      <w:pPr>
        <w:jc w:val="center"/>
        <w:rPr>
          <w:b/>
          <w:sz w:val="28"/>
          <w:szCs w:val="28"/>
          <w:lang w:eastAsia="ja-JP"/>
        </w:rPr>
      </w:pPr>
      <w:hyperlink r:id="rId6" w:history="1">
        <w:r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0127E49" w14:textId="77777777" w:rsidR="0054209A" w:rsidRDefault="0054209A" w:rsidP="0054209A">
      <w:pPr>
        <w:jc w:val="center"/>
        <w:rPr>
          <w:b/>
          <w:sz w:val="28"/>
          <w:szCs w:val="28"/>
          <w:lang w:eastAsia="ja-JP"/>
        </w:rPr>
      </w:pPr>
    </w:p>
    <w:p w14:paraId="04AA2F8D" w14:textId="2857BE8A" w:rsidR="0054209A" w:rsidRDefault="0054209A" w:rsidP="0054209A">
      <w:pPr>
        <w:jc w:val="center"/>
        <w:rPr>
          <w:b/>
          <w:bCs/>
          <w:sz w:val="20"/>
          <w:szCs w:val="20"/>
          <w:lang w:eastAsia="ja-JP"/>
        </w:rPr>
      </w:pPr>
      <w:r>
        <w:rPr>
          <w:b/>
          <w:sz w:val="20"/>
          <w:szCs w:val="20"/>
          <w:lang w:eastAsia="ja-JP"/>
        </w:rPr>
        <w:t xml:space="preserve">Este </w:t>
      </w:r>
      <w:proofErr w:type="spellStart"/>
      <w:r>
        <w:rPr>
          <w:b/>
          <w:sz w:val="20"/>
          <w:szCs w:val="20"/>
          <w:lang w:eastAsia="ja-JP"/>
        </w:rPr>
        <w:t>programa</w:t>
      </w:r>
      <w:proofErr w:type="spellEnd"/>
      <w:r>
        <w:rPr>
          <w:b/>
          <w:sz w:val="20"/>
          <w:szCs w:val="20"/>
          <w:lang w:eastAsia="ja-JP"/>
        </w:rPr>
        <w:t xml:space="preserve"> </w:t>
      </w:r>
      <w:proofErr w:type="spellStart"/>
      <w:r>
        <w:rPr>
          <w:b/>
          <w:sz w:val="20"/>
          <w:szCs w:val="20"/>
          <w:lang w:eastAsia="ja-JP"/>
        </w:rPr>
        <w:t>cuenta</w:t>
      </w:r>
      <w:proofErr w:type="spellEnd"/>
      <w:r>
        <w:rPr>
          <w:b/>
          <w:sz w:val="20"/>
          <w:szCs w:val="20"/>
          <w:lang w:eastAsia="ja-JP"/>
        </w:rPr>
        <w:t xml:space="preserve"> con el </w:t>
      </w:r>
      <w:proofErr w:type="spellStart"/>
      <w:r>
        <w:rPr>
          <w:b/>
          <w:sz w:val="20"/>
          <w:szCs w:val="20"/>
          <w:lang w:eastAsia="ja-JP"/>
        </w:rPr>
        <w:t>apoyo</w:t>
      </w:r>
      <w:proofErr w:type="spellEnd"/>
      <w:r>
        <w:rPr>
          <w:b/>
          <w:sz w:val="20"/>
          <w:szCs w:val="20"/>
          <w:lang w:eastAsia="ja-JP"/>
        </w:rPr>
        <w:t xml:space="preserve"> de EVENT</w:t>
      </w:r>
      <w:r>
        <w:rPr>
          <w:b/>
          <w:bCs/>
          <w:sz w:val="20"/>
          <w:szCs w:val="20"/>
          <w:lang w:eastAsia="ja-JP"/>
        </w:rPr>
        <w:t>S DC</w:t>
      </w:r>
      <w:r>
        <w:rPr>
          <w:sz w:val="20"/>
          <w:szCs w:val="20"/>
          <w:lang w:eastAsia="ja-JP"/>
        </w:rPr>
        <w:t xml:space="preserve">, </w:t>
      </w:r>
      <w:r>
        <w:rPr>
          <w:b/>
          <w:bCs/>
          <w:sz w:val="20"/>
          <w:szCs w:val="20"/>
          <w:lang w:eastAsia="ja-JP"/>
        </w:rPr>
        <w:t>DC Commission on the Arts and Humanities</w:t>
      </w:r>
      <w:r w:rsidR="00692EB1"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="00692EB1">
        <w:rPr>
          <w:b/>
          <w:bCs/>
          <w:sz w:val="20"/>
          <w:szCs w:val="20"/>
          <w:lang w:eastAsia="ja-JP"/>
        </w:rPr>
        <w:t>fundaciones</w:t>
      </w:r>
      <w:proofErr w:type="spellEnd"/>
      <w:r w:rsidR="00692EB1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692EB1">
        <w:rPr>
          <w:b/>
          <w:bCs/>
          <w:sz w:val="20"/>
          <w:szCs w:val="20"/>
          <w:lang w:eastAsia="ja-JP"/>
        </w:rPr>
        <w:t>privadas</w:t>
      </w:r>
      <w:proofErr w:type="spellEnd"/>
      <w:r w:rsidR="00692EB1">
        <w:rPr>
          <w:b/>
          <w:bCs/>
          <w:sz w:val="20"/>
          <w:szCs w:val="20"/>
          <w:lang w:eastAsia="ja-JP"/>
        </w:rPr>
        <w:t xml:space="preserve"> </w:t>
      </w:r>
      <w:r>
        <w:rPr>
          <w:b/>
          <w:bCs/>
          <w:sz w:val="20"/>
          <w:szCs w:val="20"/>
          <w:lang w:eastAsia="ja-JP"/>
        </w:rPr>
        <w:t xml:space="preserve"> y </w:t>
      </w:r>
      <w:proofErr w:type="spellStart"/>
      <w:r>
        <w:rPr>
          <w:b/>
          <w:bCs/>
          <w:sz w:val="20"/>
          <w:szCs w:val="20"/>
          <w:lang w:eastAsia="ja-JP"/>
        </w:rPr>
        <w:t>aportes</w:t>
      </w:r>
      <w:proofErr w:type="spellEnd"/>
      <w:r>
        <w:rPr>
          <w:b/>
          <w:bCs/>
          <w:sz w:val="20"/>
          <w:szCs w:val="20"/>
          <w:lang w:eastAsia="ja-JP"/>
        </w:rPr>
        <w:t xml:space="preserve"> </w:t>
      </w:r>
      <w:proofErr w:type="spellStart"/>
      <w:r>
        <w:rPr>
          <w:b/>
          <w:bCs/>
          <w:sz w:val="20"/>
          <w:szCs w:val="20"/>
          <w:lang w:eastAsia="ja-JP"/>
        </w:rPr>
        <w:t>individuales</w:t>
      </w:r>
      <w:proofErr w:type="spellEnd"/>
      <w:r>
        <w:rPr>
          <w:b/>
          <w:bCs/>
          <w:sz w:val="20"/>
          <w:szCs w:val="20"/>
          <w:lang w:eastAsia="ja-JP"/>
        </w:rPr>
        <w:t>.</w:t>
      </w:r>
    </w:p>
    <w:p w14:paraId="3FD89D25" w14:textId="77777777" w:rsidR="0054209A" w:rsidRDefault="0054209A" w:rsidP="0054209A">
      <w:pPr>
        <w:jc w:val="center"/>
        <w:rPr>
          <w:b/>
          <w:bCs/>
          <w:sz w:val="20"/>
          <w:szCs w:val="20"/>
          <w:lang w:eastAsia="ja-JP"/>
        </w:rPr>
      </w:pPr>
    </w:p>
    <w:p w14:paraId="107CE687" w14:textId="15F0FCE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54209A"/>
    <w:rsid w:val="006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</cp:revision>
  <dcterms:created xsi:type="dcterms:W3CDTF">2020-12-11T00:03:00Z</dcterms:created>
  <dcterms:modified xsi:type="dcterms:W3CDTF">2020-12-11T00:15:00Z</dcterms:modified>
</cp:coreProperties>
</file>